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pari o superiore a 40.000 euro e inferiore alle soglie di cui all'articolo 35, D.Lgs. 50/2016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pari o superiore a 40.000 euro e inferiore alle soglie di cui all'articolo 35, D.Lgs. 50/2016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