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ure di valutazione relative all'analisi dell'impatto della regolamentazione (AIR) ai sensi dell'art.14, comma 1, della legge 28 novembre 2005, n. 246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ure di valutazione relative all'analisi dell'impatto della regolamentazione (AIR) ai sensi dell'art.14, comma 1, della legge 28 novembre 2005, n. 246.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