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ai sensi dell'articolo 42, comma 3, del T.U.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ai sensi dell'articolo 42, comma 3, del T.U.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