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150.000 euro e inferiore a 1.000.000 di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150.000 euro e inferiore a 1.000.000 di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