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40.000 euro e inferiore a 150.000 euro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40.000 euro e inferiore a 150.000 euro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