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ariazioni al Programma lavori pubblici sotto i 100.000 eu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ariazioni al Programma lavori pubblici sotto i 100.000 eu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