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Interventi per la normalizzazione delle banche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Interventi per la normalizzazione delle banche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